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宋体" w:hAnsi="宋体"/>
          <w:b/>
          <w:color w:val="auto"/>
          <w:kern w:val="0"/>
          <w:sz w:val="44"/>
          <w:szCs w:val="44"/>
        </w:rPr>
      </w:pPr>
      <w:bookmarkStart w:id="1" w:name="_GoBack"/>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托克逊县怡心福利院2024年单位预算公开</w:t>
      </w: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before="100" w:beforeAutospacing="1" w:after="100" w:afterAutospacing="1"/>
        <w:jc w:val="center"/>
        <w:outlineLvl w:val="1"/>
        <w:rPr>
          <w:rFonts w:hint="eastAsia" w:ascii="宋体" w:hAnsi="宋体"/>
          <w:b/>
          <w:color w:val="auto"/>
          <w:kern w:val="0"/>
          <w:sz w:val="44"/>
          <w:szCs w:val="44"/>
        </w:rPr>
      </w:pPr>
    </w:p>
    <w:p>
      <w:pPr>
        <w:widowControl/>
        <w:spacing w:line="500" w:lineRule="exact"/>
        <w:jc w:val="center"/>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hint="eastAsia" w:ascii="宋体" w:hAnsi="宋体"/>
          <w:b/>
          <w:color w:val="auto"/>
          <w:kern w:val="0"/>
          <w:sz w:val="44"/>
          <w:szCs w:val="44"/>
        </w:rPr>
      </w:pP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一、关于托克逊县怡心福利院单位2024年收支预算情况的总体说明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二、关于托克逊县怡心福利院单位2024年收入预算情况说明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三、关于托克逊县怡心福利院单位2024年支出预算情况说明</w:t>
      </w:r>
    </w:p>
    <w:p>
      <w:pPr>
        <w:widowControl/>
        <w:spacing w:line="600" w:lineRule="exact"/>
        <w:ind w:firstLine="640" w:firstLineChars="200"/>
        <w:outlineLvl w:val="1"/>
        <w:rPr>
          <w:rFonts w:hint="eastAsia"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四、关于托克逊县怡心福利院单位2024年财政拨款收支预算情况的总体说明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五、关于托克逊县怡心福利院单位2024年一般公共预算当年拨款情况说明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六、关于托克逊县怡心福利院单位2024年一般公共预算基本支出情况说明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七、关于托克逊县怡心福利院单位2024年一般公共预算项目支出情况说明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八、关于托克逊县怡心福利院单位2024年政府性基金预算拨款情况说明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九、关于托克逊县怡心福利院单位2024年国有资本经营预算拨款情况说明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十、关于托克逊县怡心福利院单位2024年财政拨款“三公”经费预算情况说明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十一、关于托克逊县怡心福利院单位2024年上年结转结余预算情况说明</w:t>
      </w:r>
    </w:p>
    <w:p>
      <w:pPr>
        <w:widowControl/>
        <w:spacing w:line="600" w:lineRule="exact"/>
        <w:ind w:firstLine="640" w:firstLineChars="200"/>
        <w:outlineLvl w:val="1"/>
        <w:rPr>
          <w:rFonts w:hint="eastAsia"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hint="eastAsia"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hint="eastAsia" w:ascii="宋体" w:hAnsi="宋体"/>
          <w:b/>
          <w:color w:val="auto"/>
          <w:kern w:val="0"/>
          <w:sz w:val="32"/>
          <w:szCs w:val="32"/>
        </w:rPr>
      </w:pP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hint="eastAsia"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坚持全心全意为人民服务工作人民服务的宗旨，为精神病患者家庭俳优难解；加强了对干部，职工的教育和管理，保证在收治精神病人方面不出问题；建立了建立怡心福利院的各项规章制度和岗位目标责任制，实行责任追究制度，制定量化考核标准，为精神病人营造出了一个较好的生活环境。</w:t>
      </w:r>
    </w:p>
    <w:p>
      <w:pPr>
        <w:widowControl/>
        <w:spacing w:line="560" w:lineRule="exact"/>
        <w:jc w:val="left"/>
        <w:rPr>
          <w:rFonts w:hint="eastAsia"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托克逊县怡心福利院单位无下属预算单位，下设4个处室，分别是：综合科、财务室、检验科、药房</w:t>
      </w:r>
      <w:r>
        <w:rPr>
          <w:rFonts w:hint="eastAsia" w:ascii="仿宋_GB2312" w:hAnsi="宋体" w:eastAsia="仿宋_GB2312" w:cs="宋体"/>
          <w:color w:val="auto"/>
          <w:kern w:val="0"/>
          <w:sz w:val="32"/>
          <w:szCs w:val="32"/>
        </w:rPr>
        <w:t>。</w:t>
      </w:r>
    </w:p>
    <w:p>
      <w:pPr>
        <w:widowControl/>
        <w:spacing w:line="560" w:lineRule="exact"/>
        <w:ind w:firstLine="64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托克逊县怡心福利院单位编制数28，实有人数30人，其中：在职28人，减少8人；退休2人，增加0人；离休0人，增加0人。</w:t>
      </w:r>
    </w:p>
    <w:p>
      <w:pPr>
        <w:widowControl/>
        <w:spacing w:before="156" w:beforeLines="50"/>
        <w:jc w:val="center"/>
        <w:outlineLvl w:val="1"/>
        <w:rPr>
          <w:rFonts w:hint="eastAsia"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hint="eastAsia"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1343.97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1208.97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1199.97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58.64</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1246.86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135.00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135.00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38.47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1343.97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1343.97</w:t>
            </w:r>
          </w:p>
        </w:tc>
      </w:tr>
    </w:tbl>
    <w:p>
      <w:pPr>
        <w:widowControl/>
        <w:jc w:val="left"/>
        <w:outlineLvl w:val="1"/>
        <w:rPr>
          <w:rFonts w:hint="eastAsia"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3889"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hint="eastAsia"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hint="eastAsia"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58.64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58.64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49.64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49.64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49.64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49.64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1.47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48.17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48.17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48.17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残疾人事业</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9.00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99</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其他残疾人事业支出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9.00</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9.00</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9.00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1246.86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1111.86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1111.86</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公立医院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1226.42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1091.42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1091.42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精神病医院</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1226.42</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1091.42</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1091.42</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135.00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20.44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20.44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20.44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20.44</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20.44</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20.44</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38.47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38.47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38.47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r>
              <w:rPr>
                <w:rFonts w:hint="eastAsia" w:ascii="仿宋_GB2312" w:eastAsia="仿宋_GB2312"/>
                <w:color w:val="auto"/>
                <w:sz w:val="18"/>
                <w:szCs w:val="18"/>
              </w:rPr>
              <w:t>38.47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1343.97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1208.97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1199.97</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eastAsia="仿宋_GB2312"/>
                <w:b/>
                <w:color w:val="auto"/>
                <w:sz w:val="18"/>
                <w:szCs w:val="18"/>
              </w:rPr>
              <w:t>9.00</w:t>
            </w: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hint="eastAsia" w:ascii="仿宋_GB2312" w:hAnsi="宋体" w:eastAsia="仿宋_GB2312" w:cs="宋体"/>
                <w:b/>
                <w:color w:val="auto"/>
                <w:sz w:val="18"/>
                <w:szCs w:val="18"/>
              </w:rPr>
            </w:pPr>
            <w:r>
              <w:rPr>
                <w:rFonts w:hint="eastAsia" w:ascii="仿宋_GB2312" w:eastAsia="仿宋_GB2312"/>
                <w:b/>
                <w:color w:val="auto"/>
                <w:sz w:val="18"/>
                <w:szCs w:val="18"/>
              </w:rPr>
              <w:t>135.00</w:t>
            </w:r>
          </w:p>
        </w:tc>
        <w:tc>
          <w:tcPr>
            <w:tcW w:w="84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r>
    </w:tbl>
    <w:p>
      <w:pPr>
        <w:widowControl/>
        <w:jc w:val="left"/>
        <w:outlineLvl w:val="1"/>
        <w:rPr>
          <w:rFonts w:hint="eastAsia"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hint="eastAsia" w:ascii="仿宋_GB2312" w:hAnsi="宋体" w:eastAsia="仿宋_GB2312"/>
                <w:b/>
                <w:color w:val="auto"/>
                <w:kern w:val="0"/>
                <w:sz w:val="32"/>
                <w:szCs w:val="32"/>
              </w:rPr>
            </w:pPr>
            <w:r>
              <w:rPr>
                <w:rFonts w:hint="eastAsia" w:ascii="仿宋_GB2312" w:eastAsia="仿宋_GB2312"/>
                <w:color w:val="auto"/>
                <w:sz w:val="24"/>
              </w:rPr>
              <w:t>编制单位：托克逊县怡心福利院</w:t>
            </w:r>
          </w:p>
        </w:tc>
        <w:tc>
          <w:tcPr>
            <w:tcW w:w="130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58.64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49.64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49.64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49.64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48.17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48.17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残疾人事业</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99</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其他残疾人事业支出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9.00</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1246.86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961.86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公立医院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1226.42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941.42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285.00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精神病医院</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1226.42</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941.42</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285.00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20.44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20.44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20.44</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20.44</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38.47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38.47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color w:val="auto"/>
                <w:sz w:val="18"/>
                <w:szCs w:val="18"/>
              </w:rPr>
              <w:t>38.47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1343.97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1049.97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bCs/>
                <w:color w:val="auto"/>
                <w:kern w:val="0"/>
                <w:sz w:val="18"/>
                <w:szCs w:val="18"/>
              </w:rPr>
            </w:pPr>
            <w:r>
              <w:rPr>
                <w:rFonts w:hint="eastAsia" w:ascii="仿宋_GB2312" w:eastAsia="仿宋_GB2312"/>
                <w:b/>
                <w:color w:val="auto"/>
                <w:sz w:val="18"/>
                <w:szCs w:val="18"/>
              </w:rPr>
              <w:t>294.00</w:t>
            </w:r>
          </w:p>
        </w:tc>
      </w:tr>
    </w:tbl>
    <w:p>
      <w:pPr>
        <w:widowControl/>
        <w:spacing w:before="120" w:beforeLines="50"/>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808" w:type="dxa"/>
            <w:gridSpan w:val="3"/>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1208.97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1208.97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58.64</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58.64</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1111.86</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1111.86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38.47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38.47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1208.97</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1208.97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1208.97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hint="eastAsia"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hint="eastAsia"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07"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58.64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49.64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49.64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49.64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48.17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48.17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残疾人事业</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其他残疾人事业支出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9.00</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1111.86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961.86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公立医院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1091.42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941.42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精神病医院</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1091.42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941.42</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20.44</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38.47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1208.97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1049.97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159.00</w:t>
            </w:r>
          </w:p>
        </w:tc>
      </w:tr>
    </w:tbl>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0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992.13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992.13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125.06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125.06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53.36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53.36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81.58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81.58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62.51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62.51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48.17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48.17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20.44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20.44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2.11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2.11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38.47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38.47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560.43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560.43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54.61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54.61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3.81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16.98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16.98</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20.61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20.61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5.81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5.81</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4.00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3.23</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3.23</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1.47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color w:val="auto"/>
                <w:kern w:val="0"/>
                <w:sz w:val="18"/>
                <w:szCs w:val="18"/>
              </w:rPr>
            </w:pPr>
            <w:r>
              <w:rPr>
                <w:rFonts w:ascii="仿宋_GB2312" w:hAnsi="宋体" w:eastAsia="仿宋_GB2312" w:cs="宋体"/>
                <w:color w:val="auto"/>
                <w:kern w:val="0"/>
                <w:sz w:val="18"/>
                <w:szCs w:val="18"/>
              </w:rPr>
              <w:t>1.76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1049.97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995.36</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r>
              <w:rPr>
                <w:rFonts w:ascii="仿宋_GB2312" w:hAnsi="宋体" w:eastAsia="仿宋_GB2312" w:cs="宋体"/>
                <w:b/>
                <w:color w:val="auto"/>
                <w:kern w:val="0"/>
                <w:sz w:val="18"/>
                <w:szCs w:val="18"/>
              </w:rPr>
              <w:t>54.61</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hint="eastAsia"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2720" w:type="dxa"/>
            <w:tcBorders>
              <w:top w:val="nil"/>
              <w:left w:val="nil"/>
              <w:bottom w:val="nil"/>
              <w:right w:val="nil"/>
            </w:tcBorders>
          </w:tcPr>
          <w:p>
            <w:pPr>
              <w:widowControl/>
              <w:jc w:val="right"/>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社会保障和就业支出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11</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残疾人事业</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9.00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208</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11</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99</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其他残疾人事业支出</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吐市财社[2023]70号，2024年自治区财政残疾人事业发展补助资金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9.00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150.00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公立医院</w:t>
            </w:r>
          </w:p>
        </w:tc>
        <w:tc>
          <w:tcPr>
            <w:tcW w:w="2170" w:type="dxa"/>
            <w:shd w:val="clear" w:color="auto" w:fill="auto"/>
            <w:vAlign w:val="center"/>
          </w:tcPr>
          <w:p>
            <w:pPr>
              <w:jc w:val="left"/>
              <w:rPr>
                <w:rFonts w:hint="eastAsia"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150.00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150.00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02</w:t>
            </w:r>
          </w:p>
        </w:tc>
        <w:tc>
          <w:tcPr>
            <w:tcW w:w="567" w:type="dxa"/>
            <w:shd w:val="clear" w:color="auto" w:fill="auto"/>
            <w:vAlign w:val="center"/>
          </w:tcPr>
          <w:p>
            <w:pPr>
              <w:jc w:val="center"/>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05</w:t>
            </w:r>
          </w:p>
        </w:tc>
        <w:tc>
          <w:tcPr>
            <w:tcW w:w="2321"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精神病医院</w:t>
            </w:r>
          </w:p>
        </w:tc>
        <w:tc>
          <w:tcPr>
            <w:tcW w:w="2170" w:type="dxa"/>
            <w:shd w:val="clear" w:color="auto" w:fill="auto"/>
            <w:vAlign w:val="center"/>
          </w:tcPr>
          <w:p>
            <w:pPr>
              <w:jc w:val="lef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2024年度特殊群体服务保障资金</w:t>
            </w:r>
          </w:p>
        </w:tc>
        <w:tc>
          <w:tcPr>
            <w:tcW w:w="950" w:type="dxa"/>
            <w:shd w:val="clear" w:color="auto" w:fill="auto"/>
            <w:vAlign w:val="center"/>
          </w:tcPr>
          <w:p>
            <w:pPr>
              <w:ind w:right="-29" w:rightChars="-14"/>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150.00</w:t>
            </w:r>
          </w:p>
        </w:tc>
        <w:tc>
          <w:tcPr>
            <w:tcW w:w="720" w:type="dxa"/>
            <w:shd w:val="clear" w:color="auto" w:fill="auto"/>
            <w:vAlign w:val="center"/>
          </w:tcPr>
          <w:p>
            <w:pPr>
              <w:jc w:val="right"/>
              <w:rPr>
                <w:rFonts w:hint="eastAsia" w:ascii="仿宋_GB2312" w:hAnsi="宋体" w:eastAsia="仿宋_GB2312" w:cs="宋体"/>
                <w:color w:val="auto"/>
                <w:sz w:val="18"/>
                <w:szCs w:val="18"/>
              </w:rPr>
            </w:pPr>
          </w:p>
        </w:tc>
        <w:tc>
          <w:tcPr>
            <w:tcW w:w="820" w:type="dxa"/>
            <w:shd w:val="clear" w:color="auto" w:fill="auto"/>
            <w:vAlign w:val="center"/>
          </w:tcPr>
          <w:p>
            <w:pPr>
              <w:jc w:val="right"/>
              <w:rPr>
                <w:rFonts w:hint="eastAsia" w:ascii="仿宋_GB2312" w:hAnsi="宋体" w:eastAsia="仿宋_GB2312" w:cs="宋体"/>
                <w:color w:val="auto"/>
                <w:sz w:val="18"/>
                <w:szCs w:val="18"/>
              </w:rPr>
            </w:pPr>
            <w:r>
              <w:rPr>
                <w:rFonts w:hint="eastAsia" w:ascii="仿宋_GB2312" w:hAnsi="宋体" w:eastAsia="仿宋_GB2312" w:cs="宋体"/>
                <w:color w:val="auto"/>
                <w:kern w:val="0"/>
                <w:sz w:val="18"/>
                <w:szCs w:val="18"/>
              </w:rPr>
              <w:t>150.00</w:t>
            </w:r>
          </w:p>
        </w:tc>
        <w:tc>
          <w:tcPr>
            <w:tcW w:w="67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710" w:type="dxa"/>
            <w:shd w:val="clear" w:color="auto" w:fill="auto"/>
            <w:vAlign w:val="center"/>
          </w:tcPr>
          <w:p>
            <w:pPr>
              <w:jc w:val="right"/>
              <w:rPr>
                <w:rFonts w:hint="eastAsia" w:ascii="仿宋_GB2312" w:hAnsi="宋体" w:eastAsia="仿宋_GB2312" w:cs="宋体"/>
                <w:color w:val="auto"/>
                <w:sz w:val="18"/>
                <w:szCs w:val="18"/>
              </w:rPr>
            </w:pPr>
          </w:p>
        </w:tc>
        <w:tc>
          <w:tcPr>
            <w:tcW w:w="790" w:type="dxa"/>
            <w:shd w:val="clear" w:color="auto" w:fill="auto"/>
            <w:vAlign w:val="center"/>
          </w:tcPr>
          <w:p>
            <w:pPr>
              <w:jc w:val="right"/>
              <w:rPr>
                <w:rFonts w:hint="eastAsia" w:ascii="仿宋_GB2312" w:hAnsi="宋体" w:eastAsia="仿宋_GB2312" w:cs="宋体"/>
                <w:color w:val="auto"/>
                <w:sz w:val="18"/>
                <w:szCs w:val="18"/>
              </w:rPr>
            </w:pPr>
          </w:p>
        </w:tc>
        <w:tc>
          <w:tcPr>
            <w:tcW w:w="640" w:type="dxa"/>
            <w:shd w:val="clear" w:color="auto" w:fill="auto"/>
            <w:vAlign w:val="center"/>
          </w:tcPr>
          <w:p>
            <w:pPr>
              <w:jc w:val="right"/>
              <w:rPr>
                <w:rFonts w:hint="eastAsia" w:ascii="仿宋_GB2312" w:hAnsi="宋体" w:eastAsia="仿宋_GB2312" w:cs="宋体"/>
                <w:color w:val="auto"/>
                <w:sz w:val="18"/>
                <w:szCs w:val="18"/>
              </w:rPr>
            </w:pPr>
          </w:p>
        </w:tc>
        <w:tc>
          <w:tcPr>
            <w:tcW w:w="700" w:type="dxa"/>
            <w:shd w:val="clear" w:color="auto" w:fill="auto"/>
            <w:vAlign w:val="center"/>
          </w:tcPr>
          <w:p>
            <w:pPr>
              <w:jc w:val="right"/>
              <w:rPr>
                <w:rFonts w:hint="eastAsia" w:ascii="仿宋_GB2312" w:hAnsi="宋体" w:eastAsia="仿宋_GB2312" w:cs="宋体"/>
                <w:color w:val="auto"/>
                <w:sz w:val="18"/>
                <w:szCs w:val="18"/>
              </w:rPr>
            </w:pPr>
          </w:p>
        </w:tc>
        <w:tc>
          <w:tcPr>
            <w:tcW w:w="620" w:type="dxa"/>
            <w:shd w:val="clear" w:color="auto" w:fill="auto"/>
            <w:vAlign w:val="center"/>
          </w:tcPr>
          <w:p>
            <w:pPr>
              <w:jc w:val="right"/>
              <w:rPr>
                <w:rFonts w:hint="eastAsia"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567" w:type="dxa"/>
            <w:shd w:val="clear" w:color="auto" w:fill="auto"/>
            <w:vAlign w:val="center"/>
          </w:tcPr>
          <w:p>
            <w:pPr>
              <w:jc w:val="center"/>
              <w:rPr>
                <w:rFonts w:hint="eastAsia" w:ascii="仿宋_GB2312" w:hAnsi="宋体" w:eastAsia="仿宋_GB2312" w:cs="宋体"/>
                <w:b/>
                <w:color w:val="auto"/>
                <w:sz w:val="18"/>
                <w:szCs w:val="18"/>
              </w:rPr>
            </w:pPr>
          </w:p>
        </w:tc>
        <w:tc>
          <w:tcPr>
            <w:tcW w:w="2321" w:type="dxa"/>
            <w:shd w:val="clear" w:color="auto" w:fill="auto"/>
            <w:vAlign w:val="center"/>
          </w:tcPr>
          <w:p>
            <w:pPr>
              <w:jc w:val="left"/>
              <w:rPr>
                <w:rFonts w:hint="eastAsia" w:ascii="仿宋_GB2312" w:hAnsi="宋体" w:eastAsia="仿宋_GB2312" w:cs="宋体"/>
                <w:b/>
                <w:color w:val="auto"/>
                <w:sz w:val="18"/>
                <w:szCs w:val="18"/>
              </w:rPr>
            </w:pPr>
          </w:p>
        </w:tc>
        <w:tc>
          <w:tcPr>
            <w:tcW w:w="2170" w:type="dxa"/>
            <w:shd w:val="clear" w:color="auto" w:fill="auto"/>
            <w:vAlign w:val="center"/>
          </w:tcPr>
          <w:p>
            <w:pPr>
              <w:jc w:val="lef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159.00</w:t>
            </w:r>
          </w:p>
        </w:tc>
        <w:tc>
          <w:tcPr>
            <w:tcW w:w="720" w:type="dxa"/>
            <w:shd w:val="clear" w:color="auto" w:fill="auto"/>
            <w:vAlign w:val="center"/>
          </w:tcPr>
          <w:p>
            <w:pPr>
              <w:jc w:val="right"/>
              <w:rPr>
                <w:rFonts w:hint="eastAsia" w:ascii="仿宋_GB2312" w:hAnsi="宋体" w:eastAsia="仿宋_GB2312" w:cs="宋体"/>
                <w:b/>
                <w:color w:val="auto"/>
                <w:sz w:val="18"/>
                <w:szCs w:val="18"/>
              </w:rPr>
            </w:pPr>
          </w:p>
        </w:tc>
        <w:tc>
          <w:tcPr>
            <w:tcW w:w="820" w:type="dxa"/>
            <w:shd w:val="clear" w:color="auto" w:fill="auto"/>
            <w:vAlign w:val="center"/>
          </w:tcPr>
          <w:p>
            <w:pPr>
              <w:jc w:val="right"/>
              <w:rPr>
                <w:rFonts w:hint="eastAsia"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159.00</w:t>
            </w:r>
          </w:p>
        </w:tc>
        <w:tc>
          <w:tcPr>
            <w:tcW w:w="67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710" w:type="dxa"/>
            <w:shd w:val="clear" w:color="auto" w:fill="auto"/>
            <w:vAlign w:val="center"/>
          </w:tcPr>
          <w:p>
            <w:pPr>
              <w:jc w:val="right"/>
              <w:rPr>
                <w:rFonts w:hint="eastAsia" w:ascii="仿宋_GB2312" w:hAnsi="宋体" w:eastAsia="仿宋_GB2312" w:cs="宋体"/>
                <w:b/>
                <w:color w:val="auto"/>
                <w:sz w:val="18"/>
                <w:szCs w:val="18"/>
              </w:rPr>
            </w:pPr>
          </w:p>
        </w:tc>
        <w:tc>
          <w:tcPr>
            <w:tcW w:w="790" w:type="dxa"/>
            <w:shd w:val="clear" w:color="auto" w:fill="auto"/>
            <w:vAlign w:val="center"/>
          </w:tcPr>
          <w:p>
            <w:pPr>
              <w:jc w:val="right"/>
              <w:rPr>
                <w:rFonts w:hint="eastAsia" w:ascii="仿宋_GB2312" w:hAnsi="宋体" w:eastAsia="仿宋_GB2312" w:cs="宋体"/>
                <w:b/>
                <w:color w:val="auto"/>
                <w:sz w:val="18"/>
                <w:szCs w:val="18"/>
              </w:rPr>
            </w:pPr>
          </w:p>
        </w:tc>
        <w:tc>
          <w:tcPr>
            <w:tcW w:w="640" w:type="dxa"/>
            <w:shd w:val="clear" w:color="auto" w:fill="auto"/>
            <w:vAlign w:val="center"/>
          </w:tcPr>
          <w:p>
            <w:pPr>
              <w:jc w:val="right"/>
              <w:rPr>
                <w:rFonts w:hint="eastAsia" w:ascii="仿宋_GB2312" w:hAnsi="宋体" w:eastAsia="仿宋_GB2312" w:cs="宋体"/>
                <w:b/>
                <w:color w:val="auto"/>
                <w:sz w:val="18"/>
                <w:szCs w:val="18"/>
              </w:rPr>
            </w:pPr>
          </w:p>
        </w:tc>
        <w:tc>
          <w:tcPr>
            <w:tcW w:w="700" w:type="dxa"/>
            <w:shd w:val="clear" w:color="auto" w:fill="auto"/>
            <w:vAlign w:val="center"/>
          </w:tcPr>
          <w:p>
            <w:pPr>
              <w:jc w:val="right"/>
              <w:rPr>
                <w:rFonts w:hint="eastAsia" w:ascii="仿宋_GB2312" w:hAnsi="宋体" w:eastAsia="仿宋_GB2312" w:cs="宋体"/>
                <w:b/>
                <w:color w:val="auto"/>
                <w:sz w:val="18"/>
                <w:szCs w:val="18"/>
              </w:rPr>
            </w:pPr>
          </w:p>
        </w:tc>
        <w:tc>
          <w:tcPr>
            <w:tcW w:w="620" w:type="dxa"/>
            <w:shd w:val="clear" w:color="auto" w:fill="auto"/>
            <w:vAlign w:val="center"/>
          </w:tcPr>
          <w:p>
            <w:pPr>
              <w:jc w:val="right"/>
              <w:rPr>
                <w:rFonts w:hint="eastAsia"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hint="eastAsia"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备注：托克逊县怡心福利院2024年没有使用政府性基金预算拨款安排的支出，政府性基金预算支出情况表为空表。</w:t>
      </w: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18"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hint="eastAsia" w:ascii="仿宋_GB2312" w:hAnsi="宋体" w:eastAsia="仿宋_GB2312" w:cs="宋体"/>
                <w:b/>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备注：托克逊县怡心福利院2024年没有使用国有资本经营预算拨款安排的支出，国有资本经营预算支出情况表为空表。</w:t>
      </w:r>
    </w:p>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684"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1312" w:type="dxa"/>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r>
              <w:rPr>
                <w:rFonts w:hint="eastAsia" w:ascii="仿宋_GB2312" w:hAnsi="宋体" w:eastAsia="仿宋_GB2312" w:cs="宋体"/>
                <w:b/>
                <w:color w:val="auto"/>
                <w:kern w:val="0"/>
                <w:sz w:val="18"/>
              </w:rPr>
              <w:t>4.00</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b/>
                <w:color w:val="auto"/>
                <w:kern w:val="0"/>
                <w:sz w:val="18"/>
              </w:rPr>
            </w:pPr>
          </w:p>
        </w:tc>
      </w:tr>
    </w:tbl>
    <w:p>
      <w:pPr>
        <w:widowControl/>
        <w:jc w:val="left"/>
        <w:outlineLvl w:val="1"/>
        <w:rPr>
          <w:rFonts w:hint="eastAsia" w:ascii="仿宋_GB2312" w:hAnsi="宋体" w:eastAsia="仿宋_GB2312"/>
          <w:b/>
          <w:color w:val="auto"/>
          <w:kern w:val="0"/>
          <w:sz w:val="32"/>
          <w:szCs w:val="32"/>
        </w:rPr>
      </w:pPr>
    </w:p>
    <w:p>
      <w:pPr>
        <w:widowControl/>
        <w:jc w:val="left"/>
        <w:outlineLvl w:val="1"/>
        <w:rPr>
          <w:rFonts w:hint="eastAsia"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hint="eastAsia" w:ascii="仿宋_GB2312" w:hAnsi="宋体" w:eastAsia="仿宋_GB2312"/>
          <w:b/>
          <w:color w:val="auto"/>
          <w:kern w:val="0"/>
          <w:sz w:val="32"/>
          <w:szCs w:val="32"/>
        </w:rPr>
      </w:pPr>
    </w:p>
    <w:p>
      <w:pPr>
        <w:widowControl/>
        <w:jc w:val="center"/>
        <w:outlineLvl w:val="1"/>
        <w:rPr>
          <w:rFonts w:hint="eastAsia"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hint="eastAsia"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编制单位：托克逊县怡心福利院</w:t>
            </w:r>
          </w:p>
        </w:tc>
        <w:tc>
          <w:tcPr>
            <w:tcW w:w="2000" w:type="dxa"/>
            <w:gridSpan w:val="2"/>
            <w:tcBorders>
              <w:top w:val="nil"/>
              <w:left w:val="nil"/>
              <w:bottom w:val="nil"/>
              <w:right w:val="nil"/>
            </w:tcBorders>
          </w:tcPr>
          <w:p>
            <w:pPr>
              <w:widowControl/>
              <w:outlineLvl w:val="1"/>
              <w:rPr>
                <w:rFonts w:hint="eastAsia"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hint="eastAsia" w:ascii="仿宋" w:hAnsi="仿宋" w:eastAsia="仿宋" w:cs="仿宋_GB2312"/>
                <w:bCs/>
                <w:color w:val="auto"/>
                <w:kern w:val="0"/>
                <w:sz w:val="28"/>
                <w:szCs w:val="28"/>
              </w:rPr>
            </w:pPr>
          </w:p>
        </w:tc>
        <w:tc>
          <w:tcPr>
            <w:tcW w:w="813"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hint="eastAsia"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 w:hAnsi="仿宋" w:eastAsia="仿宋" w:cs="仿宋_GB2312"/>
                <w:bCs/>
                <w:color w:val="auto"/>
                <w:kern w:val="0"/>
                <w:sz w:val="18"/>
                <w:szCs w:val="18"/>
              </w:rPr>
            </w:pPr>
          </w:p>
        </w:tc>
        <w:tc>
          <w:tcPr>
            <w:tcW w:w="850" w:type="dxa"/>
            <w:vAlign w:val="center"/>
          </w:tcPr>
          <w:p>
            <w:pPr>
              <w:spacing w:line="600" w:lineRule="exact"/>
              <w:jc w:val="center"/>
              <w:rPr>
                <w:rFonts w:hint="eastAsia" w:ascii="仿宋" w:hAnsi="仿宋" w:eastAsia="仿宋" w:cs="仿宋_GB2312"/>
                <w:bCs/>
                <w:color w:val="auto"/>
                <w:kern w:val="0"/>
                <w:sz w:val="18"/>
                <w:szCs w:val="18"/>
              </w:rPr>
            </w:pPr>
          </w:p>
        </w:tc>
        <w:tc>
          <w:tcPr>
            <w:tcW w:w="1054" w:type="dxa"/>
            <w:vAlign w:val="center"/>
          </w:tcPr>
          <w:p>
            <w:pPr>
              <w:spacing w:line="600" w:lineRule="exact"/>
              <w:jc w:val="center"/>
              <w:rPr>
                <w:rFonts w:hint="eastAsia" w:ascii="仿宋" w:hAnsi="仿宋" w:eastAsia="仿宋" w:cs="仿宋_GB2312"/>
                <w:bCs/>
                <w:color w:val="auto"/>
                <w:kern w:val="0"/>
                <w:sz w:val="18"/>
                <w:szCs w:val="18"/>
              </w:rPr>
            </w:pPr>
          </w:p>
        </w:tc>
        <w:tc>
          <w:tcPr>
            <w:tcW w:w="890"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hint="eastAsia" w:ascii="仿宋_GB2312" w:hAnsi="宋体" w:eastAsia="仿宋_GB2312" w:cs="宋体"/>
                <w:bCs/>
                <w:color w:val="auto"/>
                <w:kern w:val="0"/>
                <w:sz w:val="18"/>
                <w:szCs w:val="18"/>
              </w:rPr>
            </w:pPr>
          </w:p>
        </w:tc>
        <w:tc>
          <w:tcPr>
            <w:tcW w:w="1024" w:type="dxa"/>
            <w:vAlign w:val="center"/>
          </w:tcPr>
          <w:p>
            <w:pPr>
              <w:spacing w:line="600" w:lineRule="exact"/>
              <w:jc w:val="center"/>
              <w:rPr>
                <w:rFonts w:hint="eastAsia" w:ascii="仿宋" w:hAnsi="仿宋" w:eastAsia="仿宋" w:cs="仿宋_GB2312"/>
                <w:bCs/>
                <w:color w:val="auto"/>
                <w:kern w:val="0"/>
                <w:sz w:val="18"/>
                <w:szCs w:val="18"/>
              </w:rPr>
            </w:pPr>
          </w:p>
        </w:tc>
        <w:tc>
          <w:tcPr>
            <w:tcW w:w="797" w:type="dxa"/>
            <w:vAlign w:val="center"/>
          </w:tcPr>
          <w:p>
            <w:pPr>
              <w:spacing w:line="600" w:lineRule="exact"/>
              <w:jc w:val="center"/>
              <w:rPr>
                <w:rFonts w:hint="eastAsia" w:ascii="仿宋" w:hAnsi="仿宋" w:eastAsia="仿宋" w:cs="仿宋_GB2312"/>
                <w:bCs/>
                <w:color w:val="auto"/>
                <w:kern w:val="0"/>
                <w:sz w:val="18"/>
                <w:szCs w:val="18"/>
              </w:rPr>
            </w:pPr>
          </w:p>
        </w:tc>
        <w:tc>
          <w:tcPr>
            <w:tcW w:w="813" w:type="dxa"/>
            <w:vAlign w:val="center"/>
          </w:tcPr>
          <w:p>
            <w:pPr>
              <w:spacing w:line="600" w:lineRule="exact"/>
              <w:jc w:val="center"/>
              <w:rPr>
                <w:rFonts w:hint="eastAsia" w:ascii="仿宋" w:hAnsi="仿宋" w:eastAsia="仿宋" w:cs="仿宋_GB2312"/>
                <w:bCs/>
                <w:color w:val="auto"/>
                <w:kern w:val="0"/>
                <w:sz w:val="18"/>
                <w:szCs w:val="18"/>
              </w:rPr>
            </w:pPr>
          </w:p>
        </w:tc>
        <w:tc>
          <w:tcPr>
            <w:tcW w:w="791" w:type="dxa"/>
            <w:vAlign w:val="center"/>
          </w:tcPr>
          <w:p>
            <w:pPr>
              <w:spacing w:line="600" w:lineRule="exact"/>
              <w:jc w:val="center"/>
              <w:rPr>
                <w:rFonts w:hint="eastAsia" w:ascii="仿宋" w:hAnsi="仿宋" w:eastAsia="仿宋" w:cs="仿宋_GB2312"/>
                <w:bCs/>
                <w:color w:val="auto"/>
                <w:kern w:val="0"/>
                <w:sz w:val="18"/>
                <w:szCs w:val="18"/>
              </w:rPr>
            </w:pPr>
          </w:p>
        </w:tc>
        <w:tc>
          <w:tcPr>
            <w:tcW w:w="1211" w:type="dxa"/>
            <w:vAlign w:val="center"/>
          </w:tcPr>
          <w:p>
            <w:pPr>
              <w:spacing w:line="600" w:lineRule="exact"/>
              <w:jc w:val="center"/>
              <w:rPr>
                <w:rFonts w:hint="eastAsia" w:ascii="仿宋" w:hAnsi="仿宋" w:eastAsia="仿宋" w:cs="仿宋_GB2312"/>
                <w:bCs/>
                <w:color w:val="auto"/>
                <w:kern w:val="0"/>
                <w:sz w:val="18"/>
                <w:szCs w:val="18"/>
              </w:rPr>
            </w:pPr>
          </w:p>
        </w:tc>
      </w:tr>
    </w:tbl>
    <w:p>
      <w:pPr>
        <w:widowControl/>
        <w:outlineLvl w:val="1"/>
        <w:rPr>
          <w:rFonts w:hint="eastAsia"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备注：托克逊县怡心福利院2024年无上年结转结余预算的支出，结转结余预算支出情况表为空表。</w:t>
      </w:r>
    </w:p>
    <w:p>
      <w:pPr>
        <w:widowControl/>
        <w:jc w:val="left"/>
        <w:outlineLvl w:val="1"/>
        <w:rPr>
          <w:rFonts w:hint="eastAsia"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hint="eastAsia"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hint="eastAsia" w:ascii="楷体_GB2312" w:hAnsi="楷体_GB2312" w:eastAsia="楷体_GB2312"/>
          <w:color w:val="auto"/>
          <w:kern w:val="0"/>
          <w:sz w:val="32"/>
          <w:szCs w:val="32"/>
        </w:rPr>
      </w:pP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关于托克逊县怡心福利院单位2024年收支预算情况的总体说明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按照全口径预算的原则，托克逊县怡心福利院单位2024年所有收入和支出均纳入单位预算管理。收支总预算1343.97万元。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收入预算包括：一般公共预算、单位资金。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二、关于托克逊县怡心福利院单位2024年收入预算情况说明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托克逊县怡心福利院单位收入预算1343.97万元，其中：</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一般公共预算1199.97万元，占89.29%，比上年预算减少54.80万元，下降4.37%，主要原因是聘用人员减少8人（同工4人，护理2人，食堂1人，安保1人），工资、社保、公积金等人员经费减少，因此比上年预算有所减少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上级一般公共预算安排的转移支付9.00万元，占0.67%，比上年预算增加9.00万元，增长100.00%，主要原因是本年度新增2024年自治区财政残疾人事业发展补助资金，导致比上年预算增加</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单位资金135.00万元，占10.04%，比上年预算减少11.00万元，下降7.53%，主要原因是2024年工会</w:t>
      </w:r>
      <w:r>
        <w:rPr>
          <w:rFonts w:hint="eastAsia" w:ascii="仿宋_GB2312" w:hAnsi="宋体" w:eastAsia="仿宋_GB2312" w:cs="宋体"/>
          <w:color w:val="auto"/>
          <w:kern w:val="0"/>
          <w:sz w:val="32"/>
          <w:szCs w:val="32"/>
          <w:lang w:val="en-US" w:eastAsia="zh-CN"/>
        </w:rPr>
        <w:t>经费</w:t>
      </w:r>
      <w:r>
        <w:rPr>
          <w:rFonts w:hint="eastAsia" w:ascii="仿宋_GB2312" w:hAnsi="宋体" w:eastAsia="仿宋_GB2312" w:cs="宋体"/>
          <w:color w:val="auto"/>
          <w:kern w:val="0"/>
          <w:sz w:val="32"/>
          <w:szCs w:val="32"/>
        </w:rPr>
        <w:t>预算资金不纳入单位资金预算，因此比上年预算减少</w:t>
      </w:r>
      <w:r>
        <w:rPr>
          <w:rFonts w:hint="eastAsia" w:ascii="仿宋_GB2312" w:hAnsi="宋体" w:eastAsia="仿宋_GB2312" w:cs="宋体"/>
          <w:color w:val="auto"/>
          <w:kern w:val="0"/>
          <w:sz w:val="32"/>
          <w:szCs w:val="32"/>
          <w:lang w:eastAsia="zh-CN"/>
        </w:rPr>
        <w:t>。</w:t>
      </w:r>
    </w:p>
    <w:p>
      <w:pPr>
        <w:spacing w:line="560" w:lineRule="exact"/>
        <w:ind w:firstLine="640" w:firstLineChars="200"/>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rPr>
        <w:t>财政拨款结转0.00万元，占0.00%，比上年预算减少0.28万元，下降100.00%，主要原因是2023年项目资金根据实际情况按进度支付资金，均已支付完。本年无财政拨款结转资金</w:t>
      </w:r>
      <w:r>
        <w:rPr>
          <w:rFonts w:hint="eastAsia" w:ascii="仿宋_GB2312" w:hAnsi="宋体" w:eastAsia="仿宋_GB2312" w:cs="宋体"/>
          <w:color w:val="auto"/>
          <w:kern w:val="0"/>
          <w:sz w:val="32"/>
          <w:szCs w:val="32"/>
          <w:lang w:eastAsia="zh-CN"/>
        </w:rPr>
        <w:t>。</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三、关于托克逊县怡心福利院单位2024年支出预算情况说明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托克逊县怡心福利院单位2024年支出预算1343.97万元，其中：</w:t>
      </w:r>
    </w:p>
    <w:p>
      <w:pPr>
        <w:spacing w:line="560" w:lineRule="exact"/>
        <w:ind w:firstLine="640" w:firstLineChars="200"/>
        <w:rPr>
          <w:rFonts w:hint="eastAsia"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基本支出1049.97万元，占78.12%，比上年预算减少54.80万元，下降4.96%，主要原因是因人员变动，聘用人员减少8人（同工4人，护理2人，食堂1人，安保1人），因此基本支出比上年预算减少。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项目支出294.00万元，占21.88%，比上年预算减少2.28万元，下降0.77%，主要原因是2024年工会</w:t>
      </w:r>
      <w:r>
        <w:rPr>
          <w:rFonts w:hint="eastAsia" w:ascii="仿宋_GB2312" w:hAnsi="宋体" w:eastAsia="仿宋_GB2312" w:cs="宋体"/>
          <w:color w:val="auto"/>
          <w:kern w:val="0"/>
          <w:sz w:val="32"/>
          <w:szCs w:val="32"/>
          <w:lang w:val="en-US" w:eastAsia="zh-CN"/>
        </w:rPr>
        <w:t>经费</w:t>
      </w:r>
      <w:r>
        <w:rPr>
          <w:rFonts w:hint="eastAsia" w:ascii="仿宋_GB2312" w:hAnsi="宋体" w:eastAsia="仿宋_GB2312" w:cs="宋体"/>
          <w:color w:val="auto"/>
          <w:kern w:val="0"/>
          <w:sz w:val="32"/>
          <w:szCs w:val="32"/>
        </w:rPr>
        <w:t>资金未纳入项目支出预算，因此预算较上年减少。</w:t>
      </w:r>
    </w:p>
    <w:p>
      <w:pPr>
        <w:spacing w:line="560" w:lineRule="exact"/>
        <w:ind w:firstLine="643" w:firstLineChars="200"/>
        <w:rPr>
          <w:rFonts w:hint="eastAsia"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四、关于托克逊县怡心福利院单位2024年财政拨款收支预算情况的总体说明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2024年财政拨款收支总预算1208.97万元。</w:t>
      </w:r>
    </w:p>
    <w:p>
      <w:pPr>
        <w:spacing w:line="560" w:lineRule="exact"/>
        <w:ind w:firstLine="616" w:firstLineChars="200"/>
        <w:rPr>
          <w:rFonts w:hint="eastAsia"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收入预算包括：一般公共预算拨款1208.97万元。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58.64万元，主要用于单位人员社保缴费支出;卫生健康支出1111.86万元，主要用于保障单位正常运行的人员经费、公用经费支出及单位人员医疗保险缴费支出;住房保障支出38.47万元，主要用于单位人员住房公积金缴费支出。</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五、关于托克逊县怡心福利院单位2024年一般公共预算当年拨款情况说明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托克逊县怡心福利院单位2024年一般公共预算拨款合计1208.97万元，其中：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基本支出1049.97万元，比上年预算减少54.80万元，下降4.96%。主要原因是：聘用人员减少8人（同工4人，护理2人，食堂1人，安保1人），因此基本支出比上年预算减少。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项目支出159.00万元，比上年预算增加9.00万元，增长6.00%。主要原因是：新增2024年自治区财政残疾人事业发展补助资金，因此预算较上年增加。</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1.社会保障和就业支出（类）58.64万元，占4.85%。</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2.卫生健康支出（类）1111.86万元，占91.97%。</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eastAsia="仿宋_GB2312"/>
          <w:color w:val="auto"/>
          <w:sz w:val="32"/>
          <w:szCs w:val="32"/>
        </w:rPr>
        <w:t>3.住房保障支出（类）38.47万元，占3.18%。</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事业单位离退休（项）：2024年预算数为1.47万元，比上年预算减少0.05万元，下降3.29%，主要原因是：今年因政策调整退休人员医疗费不在安排预算，因此导致预算较上年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社会保障和就业支出（类）行政事业单位养老支出（款）机关事业单位基本养老保险缴费支出（项）：2024年预算数为48.17万元，比上年预算增加5.48万元，增长12.84%，主要原因是：人员工资调增、基本养老保险缴费基数提标，因此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社会保障和就业支出（类）残疾人事业（款）其他残疾人事业支出（项）：2024年预算数为9.00万元，比上年预算增加9.00万元，增长100.00%，主要原因是：今年新增2024年自治区财政残疾人事业发展补助资金，因此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公立医院（款）精神病医院（项）：2024年预算数为1091.42万元，比上年预算减少45.94万元，下降4.04%，主要原因是：聘用人员减少8人（同工4人，护理2人，食堂1人，安保1人），人员类支出减少，因此比上年预算减少。</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卫生健康支出（类）行政事业单位医疗（款）事业单位医疗（项）：2024年预算数为20.44万元，比上年预算增加2.31万元，增长12.74%，主要原因是：人员工资调增、事业单位医疗保险缴费基数提标，因此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6.住房保障支出（类）住房改革支出（款）住房公积金（项）：2024年预算数为38.47万元，比上年预算增加4.74万元，增长14.05%，主要原因是：人员工资调增、住房公积金基数提标，因此比上年预算增加。</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社会保障和就业支出（类）行政事业单位养老支出（款）机关事业单位职业年金缴费支出（项）：2024年预算数为0.00万元，比上年预算减少21.34万元，下降100.00%，主要原因是：本年度职业年金预算由政府（财政）预算代列，未直接体现在部门预算里，导致本单位该项预算较上年减少。</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六、关于托克逊县怡心福利院单位2024年一般公共预算基本支出情况说明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托克逊县怡心福利院单位2024年一般公共预算基本支出1049.97万元，其中：</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人员经费995.36万元，主要包括：基本工资、津贴补贴、奖金、绩效工资、机关事业单位基本养老保险缴费、职工基本医疗保险缴费、其他社会保障缴费、住房公积金、其他工资福利支出、退休费、生活补助。</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公用经费54.61万元，主要包括：办公费、咨询费、水费、电费、邮电费、取暖费、差旅费、工会经费、公务用车运行维护费。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七、关于托克逊县怡心福利院单位2024年一般公共预算项目支出情况说明</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（一）项目名称：吐市财社[2023]70号，2024年自治区财政残疾人事业发展补助资金</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设立的政策依据：吐市财社[2023]70号2024年自治区财政残疾人事业发展补助资金（一般公告预算）文件。</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预算安排规模：9.00万元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项目承担单位：托克逊县怡心福利院</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资金分配情况：用于患者食堂食材（菜4万、米面油5万等等）</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（二）项目名称：2024年度特殊群体服务保障资金</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设立的政策依据：吐市财社[2023]70号2024年自治区财政残疾人事业发展补助资金（一般公告预算）文件。</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预算安排规模：150.00万元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项目承担单位：托克逊县怡心福利院</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资金分配情况：药品、医疗物资检、验物资40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万，肉款60</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万、菜22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万、米面油调料24</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万、馕款0.5</w:t>
      </w:r>
      <w:r>
        <w:rPr>
          <w:rFonts w:hint="eastAsia" w:ascii="仿宋_GB2312" w:hAnsi="黑体" w:eastAsia="仿宋_GB2312"/>
          <w:color w:val="auto"/>
          <w:sz w:val="32"/>
          <w:szCs w:val="32"/>
          <w:lang w:val="en-US" w:eastAsia="zh-CN"/>
        </w:rPr>
        <w:t>0</w:t>
      </w:r>
      <w:r>
        <w:rPr>
          <w:rFonts w:ascii="仿宋_GB2312" w:hAnsi="黑体" w:eastAsia="仿宋_GB2312"/>
          <w:color w:val="auto"/>
          <w:sz w:val="32"/>
          <w:szCs w:val="32"/>
        </w:rPr>
        <w:t>万、一次性碗2</w:t>
      </w:r>
      <w:r>
        <w:rPr>
          <w:rFonts w:hint="eastAsia" w:ascii="仿宋_GB2312" w:hAnsi="黑体" w:eastAsia="仿宋_GB2312"/>
          <w:color w:val="auto"/>
          <w:sz w:val="32"/>
          <w:szCs w:val="32"/>
          <w:lang w:val="en-US" w:eastAsia="zh-CN"/>
        </w:rPr>
        <w:t>.00</w:t>
      </w:r>
      <w:r>
        <w:rPr>
          <w:rFonts w:ascii="仿宋_GB2312" w:hAnsi="黑体" w:eastAsia="仿宋_GB2312"/>
          <w:color w:val="auto"/>
          <w:sz w:val="32"/>
          <w:szCs w:val="32"/>
        </w:rPr>
        <w:t>万元,电费1.万元。</w:t>
      </w:r>
    </w:p>
    <w:p>
      <w:pPr>
        <w:spacing w:line="560" w:lineRule="exact"/>
        <w:ind w:firstLine="640" w:firstLineChars="200"/>
        <w:rPr>
          <w:rFonts w:hint="eastAsia"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八、关于托克逊县怡心福利院单位2024年政府性基金预算拨款情况说明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托克逊县怡心福利院2024年没有使用政府性基金预算拨款安排的支出，政府性基金预算支出情况表为空表。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九、关于托克逊县怡心福利院单位2024年国有资本经营预算拨款情况说明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托克逊县怡心福利院2024年没有使用国有资本经营预算拨款安排的支出，国有资本经营预算支出情况表为空表。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十、关于托克逊县怡心福利院单位2024年财政拨款“三公”经费预算情况说明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托克逊县怡心福利院单位2024年财政拨款“三公”经费数为4.00万元，其中：因公出国（境）费0.00万元，公务用车购置费0.00万元，公务用车运行费4.00万元，公务接待费0.00万元。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增加2.00万元，增长100.00%，其中：因公出国（境）费减少0.00万元，下降0.00%，主要原因是2023与2024年均未安排因公出国(境)费；公务用车购置费减少0.00万元，下降0.00%，主要原因是2023年与2024年均未安排公务用车购置费；公务用车运行费增加2.00万元，增长100.00%，主要原因是公务用车运行费调标，标准由原先1</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万元每车每年调整到2</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万元每车每年；公务接待费减少0.00万元，下降0.00%，主要原因是2023年与2024年均未安排公务接待费。</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十一、关于托克逊县怡心福利院单位2024年上年结转结余预算情况说明</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托克逊县怡心福利院单位2024年无上年结转结余预算的支出，结转结余预算支出情况表为空表。</w:t>
      </w:r>
    </w:p>
    <w:p>
      <w:pPr>
        <w:spacing w:line="560" w:lineRule="exact"/>
        <w:ind w:firstLine="643" w:firstLineChars="200"/>
        <w:rPr>
          <w:rFonts w:hint="eastAsia"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托克逊县怡心福利院单位2024年的事业单位运行经费财政拨款预算54.61万元，比上年预算减少2.00万元，下降3.53%。主要原因是</w:t>
      </w:r>
      <w:r>
        <w:rPr>
          <w:rFonts w:hint="eastAsia" w:ascii="仿宋_GB2312" w:hAnsi="宋体" w:eastAsia="仿宋_GB2312" w:cs="宋体"/>
          <w:color w:val="auto"/>
          <w:kern w:val="0"/>
          <w:sz w:val="32"/>
          <w:szCs w:val="32"/>
          <w:lang w:val="en-US" w:eastAsia="zh-CN"/>
        </w:rPr>
        <w:t>福利费减少</w:t>
      </w:r>
      <w:r>
        <w:rPr>
          <w:rFonts w:hint="eastAsia" w:ascii="仿宋_GB2312" w:hAnsi="宋体" w:eastAsia="仿宋_GB2312" w:cs="宋体"/>
          <w:color w:val="auto"/>
          <w:kern w:val="0"/>
          <w:sz w:val="32"/>
          <w:szCs w:val="32"/>
        </w:rPr>
        <w:t>，因此预算减少。</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2024年，托克逊县怡心福利院单位政府采购预算3.81万元，其中：政府采购货物预算3.81万元，政府采购工程预算0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仿宋_GB2312" w:eastAsia="仿宋_GB2312"/>
          <w:color w:val="auto"/>
          <w:sz w:val="32"/>
        </w:rPr>
        <w:t>2024年，托克逊县怡心福利院单位面向中小企业预留政府采购项目预算金额0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万元，小微企业预留政府采购项目预算金额0</w:t>
      </w:r>
      <w:r>
        <w:rPr>
          <w:rFonts w:hint="eastAsia" w:ascii="仿宋_GB2312" w:hAnsi="黑体" w:eastAsia="仿宋_GB2312"/>
          <w:color w:val="auto"/>
          <w:sz w:val="32"/>
          <w:szCs w:val="32"/>
          <w:lang w:val="en-US" w:eastAsia="zh-CN"/>
        </w:rPr>
        <w:t>.00</w:t>
      </w:r>
      <w:r>
        <w:rPr>
          <w:rFonts w:hint="eastAsia" w:ascii="仿宋_GB2312" w:hAnsi="仿宋_GB2312" w:eastAsia="仿宋_GB2312"/>
          <w:color w:val="auto"/>
          <w:sz w:val="32"/>
        </w:rPr>
        <w:t>万元。</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截至2023年底，托克逊县怡心福利院单位及下属各预算单位占用使用国有资产总体情况为：</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1.房屋4423.16平方米，价值537.27万元。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2.车辆4辆，价值57.45万元；其中：一般公务用车0辆，价值0万元；执法执勤用车0辆，价值0万元；其他车辆4辆，价值57.45万元。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3.办公家具价值499万元。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4.其他资产价值537万元。</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1343.98</w:t>
      </w:r>
      <w:r>
        <w:rPr>
          <w:rFonts w:hint="eastAsia" w:ascii="仿宋_GB2312" w:hAnsi="宋体" w:eastAsia="仿宋_GB2312" w:cs="宋体"/>
          <w:color w:val="auto"/>
          <w:kern w:val="0"/>
          <w:sz w:val="32"/>
          <w:szCs w:val="32"/>
        </w:rPr>
        <w:t>万元；当年财政拨款项目2个，涉及预算金额159.00万元；当年非财政拨款项目1个，涉及预算金额135.00万元。具体情况见下表：</w:t>
      </w:r>
    </w:p>
    <w:p>
      <w:pPr>
        <w:widowControl/>
        <w:spacing w:line="600" w:lineRule="exact"/>
        <w:rPr>
          <w:rFonts w:hint="eastAsia"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540" w:type="dxa"/>
        <w:jc w:val="center"/>
        <w:tblLayout w:type="autofit"/>
        <w:tblCellMar>
          <w:top w:w="0" w:type="dxa"/>
          <w:left w:w="108" w:type="dxa"/>
          <w:bottom w:w="0" w:type="dxa"/>
          <w:right w:w="108" w:type="dxa"/>
        </w:tblCellMar>
      </w:tblPr>
      <w:tblGrid>
        <w:gridCol w:w="1260"/>
        <w:gridCol w:w="1600"/>
        <w:gridCol w:w="2360"/>
        <w:gridCol w:w="1067"/>
        <w:gridCol w:w="1893"/>
        <w:gridCol w:w="1360"/>
      </w:tblGrid>
      <w:tr>
        <w:tblPrEx>
          <w:tblCellMar>
            <w:top w:w="0" w:type="dxa"/>
            <w:left w:w="108" w:type="dxa"/>
            <w:bottom w:w="0" w:type="dxa"/>
            <w:right w:w="108" w:type="dxa"/>
          </w:tblCellMar>
        </w:tblPrEx>
        <w:trPr>
          <w:trHeight w:val="860" w:hRule="atLeast"/>
          <w:jc w:val="center"/>
        </w:trPr>
        <w:tc>
          <w:tcPr>
            <w:tcW w:w="9540" w:type="dxa"/>
            <w:gridSpan w:val="6"/>
            <w:tcBorders>
              <w:top w:val="nil"/>
              <w:left w:val="nil"/>
              <w:bottom w:val="nil"/>
              <w:right w:val="nil"/>
            </w:tcBorders>
            <w:shd w:val="clear" w:color="auto" w:fill="auto"/>
            <w:vAlign w:val="center"/>
          </w:tcPr>
          <w:p>
            <w:pPr>
              <w:widowControl/>
              <w:jc w:val="center"/>
              <w:rPr>
                <w:rFonts w:hint="eastAsia" w:ascii="华文中宋" w:hAnsi="华文中宋" w:eastAsia="华文中宋" w:cs="宋体"/>
                <w:b/>
                <w:bCs/>
                <w:color w:val="auto"/>
                <w:kern w:val="0"/>
                <w:sz w:val="20"/>
                <w:szCs w:val="2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80" w:hRule="atLeast"/>
          <w:jc w:val="center"/>
        </w:trPr>
        <w:tc>
          <w:tcPr>
            <w:tcW w:w="9540" w:type="dxa"/>
            <w:gridSpan w:val="6"/>
            <w:tcBorders>
              <w:top w:val="nil"/>
              <w:left w:val="nil"/>
              <w:bottom w:val="nil"/>
              <w:right w:val="nil"/>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66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托克逊县怡心福利院</w:t>
            </w:r>
          </w:p>
        </w:tc>
      </w:tr>
      <w:tr>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42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唐杰</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13579556696</w:t>
            </w:r>
          </w:p>
        </w:tc>
      </w:tr>
      <w:tr>
        <w:tblPrEx>
          <w:tblCellMar>
            <w:top w:w="0" w:type="dxa"/>
            <w:left w:w="108" w:type="dxa"/>
            <w:bottom w:w="0" w:type="dxa"/>
            <w:right w:w="108" w:type="dxa"/>
          </w:tblCellMar>
        </w:tblPrEx>
        <w:trPr>
          <w:trHeight w:val="148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6680"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服务特殊群体人员的生活，政府给特殊群体人员提供免费食宿，保障特殊群体生活质量并稳定社会，进一步提升精神病患者康复服务质量，保障改善民生、创新社会治理、优化服务供给等方面的积极作用。</w:t>
            </w:r>
          </w:p>
        </w:tc>
      </w:tr>
      <w:tr>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42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资金来源</w:t>
            </w:r>
          </w:p>
        </w:tc>
        <w:tc>
          <w:tcPr>
            <w:tcW w:w="32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2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财政资金（万元）</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上级安排</w:t>
            </w:r>
          </w:p>
        </w:tc>
        <w:tc>
          <w:tcPr>
            <w:tcW w:w="32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9.00</w:t>
            </w:r>
          </w:p>
        </w:tc>
      </w:tr>
      <w:tr>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23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cs="宋体"/>
                <w:color w:val="auto"/>
                <w:kern w:val="0"/>
                <w:sz w:val="18"/>
                <w:szCs w:val="18"/>
              </w:rPr>
            </w:pP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本级安排</w:t>
            </w:r>
          </w:p>
        </w:tc>
        <w:tc>
          <w:tcPr>
            <w:tcW w:w="32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1199.98</w:t>
            </w:r>
          </w:p>
        </w:tc>
      </w:tr>
      <w:tr>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rPr>
            </w:pPr>
          </w:p>
        </w:tc>
        <w:tc>
          <w:tcPr>
            <w:tcW w:w="2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其他资金（万元）</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其他</w:t>
            </w:r>
          </w:p>
        </w:tc>
        <w:tc>
          <w:tcPr>
            <w:tcW w:w="32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135.00</w:t>
            </w:r>
          </w:p>
        </w:tc>
      </w:tr>
      <w:tr>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指标值</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80" w:hRule="atLeast"/>
          <w:jc w:val="center"/>
        </w:trPr>
        <w:tc>
          <w:tcPr>
            <w:tcW w:w="1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履职效能</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60" w:type="dxa"/>
            <w:tcBorders>
              <w:top w:val="nil"/>
              <w:left w:val="nil"/>
              <w:bottom w:val="single" w:color="000000" w:sz="4" w:space="0"/>
              <w:right w:val="nil"/>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特殊群体人员生活保障人数</w:t>
            </w:r>
          </w:p>
        </w:tc>
        <w:tc>
          <w:tcPr>
            <w:tcW w:w="10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≥170人</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本级单位年度计划</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24</w:t>
            </w:r>
          </w:p>
        </w:tc>
      </w:tr>
      <w:tr>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数量指标</w:t>
            </w:r>
          </w:p>
        </w:tc>
        <w:tc>
          <w:tcPr>
            <w:tcW w:w="2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福利院护理工作人员</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=32人</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本级单位年度计划</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生活保障物资覆盖率</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本级单位年度计划</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54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质量指标</w:t>
            </w:r>
          </w:p>
        </w:tc>
        <w:tc>
          <w:tcPr>
            <w:tcW w:w="236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食品安全率</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＝100%</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本级单位年度计划</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20</w:t>
            </w:r>
          </w:p>
        </w:tc>
      </w:tr>
      <w:tr>
        <w:tblPrEx>
          <w:tblCellMar>
            <w:top w:w="0" w:type="dxa"/>
            <w:left w:w="108" w:type="dxa"/>
            <w:bottom w:w="0" w:type="dxa"/>
            <w:right w:w="108" w:type="dxa"/>
          </w:tblCellMar>
        </w:tblPrEx>
        <w:trPr>
          <w:trHeight w:val="48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服务对象满意度</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2360" w:type="dxa"/>
            <w:tcBorders>
              <w:top w:val="nil"/>
              <w:left w:val="nil"/>
              <w:bottom w:val="single" w:color="auto" w:sz="4" w:space="0"/>
              <w:right w:val="single" w:color="auto" w:sz="4" w:space="0"/>
            </w:tcBorders>
            <w:shd w:val="clear" w:color="000000" w:fill="FFFFFF"/>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服务对象家属满意度</w:t>
            </w:r>
          </w:p>
        </w:tc>
        <w:tc>
          <w:tcPr>
            <w:tcW w:w="106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≥90%</w:t>
            </w:r>
          </w:p>
        </w:tc>
        <w:tc>
          <w:tcPr>
            <w:tcW w:w="189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本级单位年度计划</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10</w:t>
            </w:r>
          </w:p>
        </w:tc>
      </w:tr>
    </w:tbl>
    <w:p>
      <w:pPr>
        <w:rPr>
          <w:color w:val="auto"/>
        </w:rPr>
      </w:pPr>
    </w:p>
    <w:p>
      <w:pPr>
        <w:widowControl/>
        <w:jc w:val="left"/>
        <w:rPr>
          <w:color w:val="auto"/>
        </w:rPr>
      </w:pPr>
      <w:r>
        <w:rPr>
          <w:color w:val="auto"/>
        </w:rPr>
        <w:br w:type="page"/>
      </w:r>
    </w:p>
    <w:tbl>
      <w:tblPr>
        <w:tblStyle w:val="4"/>
        <w:tblW w:w="10689" w:type="dxa"/>
        <w:jc w:val="center"/>
        <w:tblLayout w:type="fixed"/>
        <w:tblCellMar>
          <w:top w:w="0" w:type="dxa"/>
          <w:left w:w="108" w:type="dxa"/>
          <w:bottom w:w="0" w:type="dxa"/>
          <w:right w:w="108" w:type="dxa"/>
        </w:tblCellMar>
      </w:tblPr>
      <w:tblGrid>
        <w:gridCol w:w="948"/>
        <w:gridCol w:w="1405"/>
        <w:gridCol w:w="2338"/>
        <w:gridCol w:w="1021"/>
        <w:gridCol w:w="1229"/>
        <w:gridCol w:w="962"/>
        <w:gridCol w:w="840"/>
        <w:gridCol w:w="1182"/>
        <w:gridCol w:w="764"/>
      </w:tblGrid>
      <w:tr>
        <w:tblPrEx>
          <w:tblCellMar>
            <w:top w:w="0" w:type="dxa"/>
            <w:left w:w="108" w:type="dxa"/>
            <w:bottom w:w="0" w:type="dxa"/>
            <w:right w:w="108" w:type="dxa"/>
          </w:tblCellMar>
        </w:tblPrEx>
        <w:trPr>
          <w:trHeight w:val="245" w:hRule="atLeast"/>
          <w:jc w:val="center"/>
        </w:trPr>
        <w:tc>
          <w:tcPr>
            <w:tcW w:w="10689"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24"/>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245" w:hRule="atLeast"/>
          <w:jc w:val="center"/>
        </w:trPr>
        <w:tc>
          <w:tcPr>
            <w:tcW w:w="10689"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(2024年)</w:t>
            </w:r>
          </w:p>
        </w:tc>
      </w:tr>
      <w:tr>
        <w:tblPrEx>
          <w:tblCellMar>
            <w:top w:w="0" w:type="dxa"/>
            <w:left w:w="108" w:type="dxa"/>
            <w:bottom w:w="0" w:type="dxa"/>
            <w:right w:w="108" w:type="dxa"/>
          </w:tblCellMar>
        </w:tblPrEx>
        <w:trPr>
          <w:trHeight w:val="253"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3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color w:val="auto"/>
                <w:kern w:val="0"/>
                <w:sz w:val="18"/>
                <w:szCs w:val="18"/>
                <w:lang w:bidi="ar"/>
              </w:rPr>
              <w:t>托克逊县怡心福利院</w:t>
            </w:r>
          </w:p>
        </w:tc>
      </w:tr>
      <w:tr>
        <w:tblPrEx>
          <w:tblCellMar>
            <w:top w:w="0" w:type="dxa"/>
            <w:left w:w="108" w:type="dxa"/>
            <w:bottom w:w="0" w:type="dxa"/>
            <w:right w:w="108" w:type="dxa"/>
          </w:tblCellMar>
        </w:tblPrEx>
        <w:trPr>
          <w:trHeight w:val="253"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5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color w:val="auto"/>
                <w:kern w:val="0"/>
                <w:sz w:val="18"/>
                <w:szCs w:val="18"/>
                <w:lang w:bidi="ar"/>
              </w:rPr>
              <w:t>单位实有资金项目</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项目负责人</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唐杰</w:t>
            </w:r>
          </w:p>
        </w:tc>
      </w:tr>
      <w:tr>
        <w:tblPrEx>
          <w:tblCellMar>
            <w:top w:w="0" w:type="dxa"/>
            <w:left w:w="108" w:type="dxa"/>
            <w:bottom w:w="0" w:type="dxa"/>
            <w:right w:w="108" w:type="dxa"/>
          </w:tblCellMar>
        </w:tblPrEx>
        <w:trPr>
          <w:trHeight w:val="498"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135.00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0.00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r>
              <w:rPr>
                <w:rFonts w:hint="eastAsia" w:ascii="宋体" w:hAnsi="宋体" w:cs="宋体"/>
                <w:color w:val="auto"/>
                <w:kern w:val="0"/>
                <w:sz w:val="18"/>
                <w:szCs w:val="18"/>
                <w:lang w:bidi="ar"/>
              </w:rPr>
              <w:t>135</w:t>
            </w:r>
            <w:r>
              <w:rPr>
                <w:rFonts w:hint="eastAsia" w:ascii="宋体" w:hAnsi="宋体" w:cs="宋体"/>
                <w:color w:val="auto"/>
                <w:sz w:val="18"/>
                <w:szCs w:val="18"/>
              </w:rPr>
              <w:t>.00</w:t>
            </w:r>
          </w:p>
        </w:tc>
      </w:tr>
      <w:tr>
        <w:tblPrEx>
          <w:tblCellMar>
            <w:top w:w="0" w:type="dxa"/>
            <w:left w:w="108" w:type="dxa"/>
            <w:bottom w:w="0" w:type="dxa"/>
            <w:right w:w="108" w:type="dxa"/>
          </w:tblCellMar>
        </w:tblPrEx>
        <w:trPr>
          <w:trHeight w:val="720" w:hRule="atLeast"/>
          <w:jc w:val="center"/>
        </w:trPr>
        <w:tc>
          <w:tcPr>
            <w:tcW w:w="23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336"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目标1：开展对184名特殊群体人员的生活服务工作，通过每月购买米面油，日用肉，馕，一次性碗筷，蔬菜，药品，医疗物资、水果等等，保障特殊群体人员基本生活，让他们安心康复。</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目标2：通过32名护理人员对特殊群体人员提供优良服务，全额承担门诊及住院治疗费，提高精神病人员生活质量，达到早日康复目标。</w:t>
            </w:r>
          </w:p>
        </w:tc>
      </w:tr>
      <w:tr>
        <w:tblPrEx>
          <w:tblCellMar>
            <w:top w:w="0" w:type="dxa"/>
            <w:left w:w="108" w:type="dxa"/>
            <w:bottom w:w="0" w:type="dxa"/>
            <w:right w:w="108" w:type="dxa"/>
          </w:tblCellMar>
        </w:tblPrEx>
        <w:trPr>
          <w:trHeight w:val="498"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498" w:hRule="atLeast"/>
          <w:jc w:val="center"/>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特殊群体人员数量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≥184人</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184人</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购买生活用品及食材次数</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≥12次</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历史标准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护理人员数量</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≥32人</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历史标准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医疗物资定期采购批次</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≥4批次</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食品安全率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对特殊群体人员治疗费的承担比例</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物资采购及时率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就餐供餐正点率</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5</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生活用品及食材成本</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≤69万元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医疗物资采购成本</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≤40万元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48.75万元</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护理费</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≤16万元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98" w:hRule="atLeast"/>
          <w:jc w:val="center"/>
        </w:trPr>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特殊群体人员治疗费</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≤10万元</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498" w:hRule="atLeast"/>
          <w:jc w:val="center"/>
        </w:trPr>
        <w:tc>
          <w:tcPr>
            <w:tcW w:w="948" w:type="dxa"/>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40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保障特殊群体人员基本生活</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有效保障</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498" w:hRule="atLeast"/>
          <w:jc w:val="center"/>
        </w:trPr>
        <w:tc>
          <w:tcPr>
            <w:tcW w:w="948"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40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提高特殊群体人员社会温暖感</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显著提高</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506" w:hRule="atLeast"/>
          <w:jc w:val="center"/>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3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特殊群体家属满意度</w:t>
            </w:r>
          </w:p>
        </w:tc>
        <w:tc>
          <w:tcPr>
            <w:tcW w:w="102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w:t>
            </w:r>
          </w:p>
        </w:tc>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00" w:lineRule="exact"/>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r>
        <w:rPr>
          <w:color w:val="auto"/>
        </w:rPr>
        <w:br w:type="page"/>
      </w:r>
    </w:p>
    <w:tbl>
      <w:tblPr>
        <w:tblStyle w:val="4"/>
        <w:tblW w:w="10380" w:type="dxa"/>
        <w:jc w:val="center"/>
        <w:tblLayout w:type="fixed"/>
        <w:tblCellMar>
          <w:top w:w="0" w:type="dxa"/>
          <w:left w:w="108" w:type="dxa"/>
          <w:bottom w:w="0" w:type="dxa"/>
          <w:right w:w="108" w:type="dxa"/>
        </w:tblCellMar>
      </w:tblPr>
      <w:tblGrid>
        <w:gridCol w:w="922"/>
        <w:gridCol w:w="1364"/>
        <w:gridCol w:w="2271"/>
        <w:gridCol w:w="1016"/>
        <w:gridCol w:w="1083"/>
        <w:gridCol w:w="900"/>
        <w:gridCol w:w="937"/>
        <w:gridCol w:w="1207"/>
        <w:gridCol w:w="680"/>
      </w:tblGrid>
      <w:tr>
        <w:tblPrEx>
          <w:tblCellMar>
            <w:top w:w="0" w:type="dxa"/>
            <w:left w:w="108" w:type="dxa"/>
            <w:bottom w:w="0" w:type="dxa"/>
            <w:right w:w="108" w:type="dxa"/>
          </w:tblCellMar>
        </w:tblPrEx>
        <w:trPr>
          <w:trHeight w:val="615" w:hRule="atLeast"/>
          <w:jc w:val="center"/>
        </w:trPr>
        <w:tc>
          <w:tcPr>
            <w:tcW w:w="103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b/>
                <w:bCs/>
                <w:color w:val="auto"/>
                <w:sz w:val="24"/>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346" w:hRule="atLeast"/>
          <w:jc w:val="center"/>
        </w:trPr>
        <w:tc>
          <w:tcPr>
            <w:tcW w:w="10380" w:type="dxa"/>
            <w:gridSpan w:val="9"/>
            <w:tcBorders>
              <w:top w:val="nil"/>
              <w:left w:val="nil"/>
              <w:bottom w:val="nil"/>
              <w:right w:val="nil"/>
            </w:tcBorders>
            <w:shd w:val="clear" w:color="auto" w:fill="auto"/>
            <w:vAlign w:val="center"/>
          </w:tcPr>
          <w:p>
            <w:pPr>
              <w:widowControl/>
              <w:jc w:val="center"/>
              <w:textAlignment w:val="center"/>
              <w:rPr>
                <w:rFonts w:hint="eastAsia" w:ascii="宋体" w:hAnsi="宋体" w:cs="宋体"/>
                <w:color w:val="auto"/>
                <w:sz w:val="20"/>
                <w:szCs w:val="20"/>
              </w:rPr>
            </w:pPr>
            <w:r>
              <w:rPr>
                <w:rFonts w:hint="eastAsia" w:ascii="宋体" w:hAnsi="宋体" w:cs="宋体"/>
                <w:color w:val="auto"/>
                <w:kern w:val="0"/>
                <w:sz w:val="20"/>
                <w:szCs w:val="20"/>
                <w:lang w:bidi="ar"/>
              </w:rPr>
              <w:t>(2024年)</w:t>
            </w:r>
          </w:p>
        </w:tc>
      </w:tr>
      <w:tr>
        <w:tblPrEx>
          <w:tblCellMar>
            <w:top w:w="0" w:type="dxa"/>
            <w:left w:w="108" w:type="dxa"/>
            <w:bottom w:w="0" w:type="dxa"/>
            <w:right w:w="108" w:type="dxa"/>
          </w:tblCellMar>
        </w:tblPrEx>
        <w:trPr>
          <w:trHeight w:val="490"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预算单位</w:t>
            </w:r>
          </w:p>
        </w:tc>
        <w:tc>
          <w:tcPr>
            <w:tcW w:w="80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托克逊县怡心福利院</w:t>
            </w:r>
          </w:p>
        </w:tc>
      </w:tr>
      <w:tr>
        <w:tblPrEx>
          <w:tblCellMar>
            <w:top w:w="0" w:type="dxa"/>
            <w:left w:w="108" w:type="dxa"/>
            <w:bottom w:w="0" w:type="dxa"/>
            <w:right w:w="108" w:type="dxa"/>
          </w:tblCellMar>
        </w:tblPrEx>
        <w:trPr>
          <w:trHeight w:val="547"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项目名称</w:t>
            </w:r>
          </w:p>
        </w:tc>
        <w:tc>
          <w:tcPr>
            <w:tcW w:w="43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2024年度特殊群体服务保障资金</w:t>
            </w:r>
          </w:p>
        </w:tc>
        <w:tc>
          <w:tcPr>
            <w:tcW w:w="183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b/>
                <w:bCs/>
                <w:color w:val="auto"/>
                <w:kern w:val="0"/>
                <w:sz w:val="18"/>
                <w:szCs w:val="18"/>
                <w:lang w:bidi="ar"/>
              </w:rPr>
              <w:t>项目负责人</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唐杰</w:t>
            </w:r>
          </w:p>
        </w:tc>
      </w:tr>
      <w:tr>
        <w:tblPrEx>
          <w:tblCellMar>
            <w:top w:w="0" w:type="dxa"/>
            <w:left w:w="108" w:type="dxa"/>
            <w:bottom w:w="0" w:type="dxa"/>
            <w:right w:w="108" w:type="dxa"/>
          </w:tblCellMar>
        </w:tblPrEx>
        <w:trPr>
          <w:trHeight w:val="797"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项目资金（万元）</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color w:val="auto"/>
                <w:sz w:val="18"/>
                <w:szCs w:val="18"/>
                <w:lang w:eastAsia="zh-CN"/>
              </w:rPr>
            </w:pPr>
            <w:r>
              <w:rPr>
                <w:rFonts w:hint="eastAsia" w:ascii="宋体" w:hAnsi="宋体" w:cs="宋体"/>
                <w:color w:val="auto"/>
                <w:kern w:val="0"/>
                <w:sz w:val="18"/>
                <w:szCs w:val="18"/>
                <w:lang w:bidi="ar"/>
              </w:rPr>
              <w:t>年度预算总额：</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150.00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其中：财政拨款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150.00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其他资金</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r>
              <w:rPr>
                <w:rFonts w:hint="eastAsia" w:ascii="宋体" w:hAnsi="宋体" w:cs="宋体"/>
                <w:color w:val="auto"/>
                <w:sz w:val="18"/>
                <w:szCs w:val="18"/>
              </w:rPr>
              <w:t>0.00</w:t>
            </w:r>
          </w:p>
        </w:tc>
      </w:tr>
      <w:tr>
        <w:tblPrEx>
          <w:tblCellMar>
            <w:top w:w="0" w:type="dxa"/>
            <w:left w:w="108" w:type="dxa"/>
            <w:bottom w:w="0" w:type="dxa"/>
            <w:right w:w="108" w:type="dxa"/>
          </w:tblCellMar>
        </w:tblPrEx>
        <w:trPr>
          <w:trHeight w:val="1315" w:hRule="atLeast"/>
          <w:jc w:val="center"/>
        </w:trPr>
        <w:tc>
          <w:tcPr>
            <w:tcW w:w="22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项目总体目标</w:t>
            </w:r>
          </w:p>
        </w:tc>
        <w:tc>
          <w:tcPr>
            <w:tcW w:w="8094" w:type="dxa"/>
            <w:gridSpan w:val="7"/>
            <w:tcBorders>
              <w:top w:val="single" w:color="000000" w:sz="4" w:space="0"/>
              <w:left w:val="nil"/>
              <w:bottom w:val="single" w:color="000000" w:sz="4" w:space="0"/>
              <w:right w:val="single" w:color="000000" w:sz="4" w:space="0"/>
            </w:tcBorders>
            <w:shd w:val="clear" w:color="auto" w:fill="auto"/>
            <w:vAlign w:val="center"/>
          </w:tcPr>
          <w:p>
            <w:pPr>
              <w:widowControl/>
              <w:jc w:val="left"/>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目标1：开展对184名特殊群体人员的生活服务工作，通过每月购买米面油，日用肉，馕，一次性碗筷，蔬菜，药品，医疗物资、水果等等，保障特殊群体人员基本生活，让他们安心康复。</w:t>
            </w:r>
            <w:r>
              <w:rPr>
                <w:rFonts w:hint="eastAsia" w:ascii="宋体" w:hAnsi="宋体" w:cs="宋体"/>
                <w:color w:val="auto"/>
                <w:kern w:val="0"/>
                <w:sz w:val="18"/>
                <w:szCs w:val="18"/>
                <w:lang w:bidi="ar"/>
              </w:rPr>
              <w:br w:type="textWrapping"/>
            </w:r>
            <w:r>
              <w:rPr>
                <w:rFonts w:hint="eastAsia" w:ascii="宋体" w:hAnsi="宋体" w:cs="宋体"/>
                <w:color w:val="auto"/>
                <w:kern w:val="0"/>
                <w:sz w:val="18"/>
                <w:szCs w:val="18"/>
                <w:lang w:bidi="ar"/>
              </w:rPr>
              <w:t>目标2：通过32名护理人员对特殊群体人员提供优良服务，全额承担门诊及住院治疗费，提高精神病人员生活质量，达到早日康复目标。</w:t>
            </w:r>
          </w:p>
        </w:tc>
      </w:tr>
      <w:tr>
        <w:tblPrEx>
          <w:tblCellMar>
            <w:top w:w="0" w:type="dxa"/>
            <w:left w:w="108" w:type="dxa"/>
            <w:bottom w:w="0" w:type="dxa"/>
            <w:right w:w="108" w:type="dxa"/>
          </w:tblCellMar>
        </w:tblPrEx>
        <w:trPr>
          <w:trHeight w:val="609"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一级指标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二级指标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三级指标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指标值设置依据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上年完成值</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指标分值权重</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指标赋分规则</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b/>
                <w:bCs/>
                <w:color w:val="auto"/>
                <w:sz w:val="18"/>
                <w:szCs w:val="18"/>
              </w:rPr>
            </w:pPr>
            <w:r>
              <w:rPr>
                <w:rFonts w:hint="eastAsia" w:ascii="宋体" w:hAnsi="宋体" w:cs="宋体"/>
                <w:b/>
                <w:bCs/>
                <w:color w:val="auto"/>
                <w:kern w:val="0"/>
                <w:sz w:val="18"/>
                <w:szCs w:val="18"/>
                <w:lang w:bidi="ar"/>
              </w:rPr>
              <w:t>佐证资料</w:t>
            </w:r>
          </w:p>
        </w:tc>
      </w:tr>
      <w:tr>
        <w:tblPrEx>
          <w:tblCellMar>
            <w:top w:w="0" w:type="dxa"/>
            <w:left w:w="108" w:type="dxa"/>
            <w:bottom w:w="0" w:type="dxa"/>
            <w:right w:w="108" w:type="dxa"/>
          </w:tblCellMar>
        </w:tblPrEx>
        <w:trPr>
          <w:trHeight w:val="609"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产出指标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数量指标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特殊群体人员数量</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≥184人</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184人</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购买生活用品及食材次数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≥12次</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历史标准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医疗物资定期采购批次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≥4批次</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质量指标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对特殊群体人员治疗费的承担比例</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时效指标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物资采购及时率</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8</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成本指标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经济成本指标</w:t>
            </w: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生活用品及食材成本</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7</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医疗物资采购成本</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48.75万元</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7</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09"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2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特殊群体人员治疗费</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≤10万元</w:t>
            </w:r>
          </w:p>
        </w:tc>
        <w:tc>
          <w:tcPr>
            <w:tcW w:w="10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6</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按照完成比例赋分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原始凭证</w:t>
            </w:r>
          </w:p>
        </w:tc>
      </w:tr>
      <w:tr>
        <w:tblPrEx>
          <w:tblCellMar>
            <w:top w:w="0" w:type="dxa"/>
            <w:left w:w="108" w:type="dxa"/>
            <w:bottom w:w="0" w:type="dxa"/>
            <w:right w:w="108" w:type="dxa"/>
          </w:tblCellMar>
        </w:tblPrEx>
        <w:trPr>
          <w:trHeight w:val="609" w:hRule="atLeast"/>
          <w:jc w:val="center"/>
        </w:trPr>
        <w:tc>
          <w:tcPr>
            <w:tcW w:w="922" w:type="dxa"/>
            <w:vMerge w:val="restart"/>
            <w:tcBorders>
              <w:top w:val="nil"/>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效益指标</w:t>
            </w:r>
          </w:p>
        </w:tc>
        <w:tc>
          <w:tcPr>
            <w:tcW w:w="1364"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社会效益指标</w:t>
            </w:r>
          </w:p>
        </w:tc>
        <w:tc>
          <w:tcPr>
            <w:tcW w:w="227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保障特殊群体人员基本生活</w:t>
            </w:r>
          </w:p>
        </w:tc>
        <w:tc>
          <w:tcPr>
            <w:tcW w:w="101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有效保障</w:t>
            </w:r>
          </w:p>
        </w:tc>
        <w:tc>
          <w:tcPr>
            <w:tcW w:w="1083"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09" w:hRule="atLeast"/>
          <w:jc w:val="center"/>
        </w:trPr>
        <w:tc>
          <w:tcPr>
            <w:tcW w:w="922" w:type="dxa"/>
            <w:vMerge w:val="continue"/>
            <w:tcBorders>
              <w:top w:val="nil"/>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136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cs="宋体"/>
                <w:color w:val="auto"/>
                <w:sz w:val="18"/>
                <w:szCs w:val="18"/>
              </w:rPr>
            </w:pPr>
          </w:p>
        </w:tc>
        <w:tc>
          <w:tcPr>
            <w:tcW w:w="227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提高特殊群体人员社会温暖感</w:t>
            </w:r>
          </w:p>
        </w:tc>
        <w:tc>
          <w:tcPr>
            <w:tcW w:w="101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显著提高</w:t>
            </w:r>
          </w:p>
        </w:tc>
        <w:tc>
          <w:tcPr>
            <w:tcW w:w="1083"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基本达成目标</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按评判等级赋分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r>
        <w:tblPrEx>
          <w:tblCellMar>
            <w:top w:w="0" w:type="dxa"/>
            <w:left w:w="108" w:type="dxa"/>
            <w:bottom w:w="0" w:type="dxa"/>
            <w:right w:w="108" w:type="dxa"/>
          </w:tblCellMar>
        </w:tblPrEx>
        <w:trPr>
          <w:trHeight w:val="618"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136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满意度指标</w:t>
            </w:r>
          </w:p>
        </w:tc>
        <w:tc>
          <w:tcPr>
            <w:tcW w:w="2271"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特殊群体家属满意度</w:t>
            </w:r>
          </w:p>
        </w:tc>
        <w:tc>
          <w:tcPr>
            <w:tcW w:w="1016"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≥90%</w:t>
            </w:r>
          </w:p>
        </w:tc>
        <w:tc>
          <w:tcPr>
            <w:tcW w:w="1083"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计划标准</w:t>
            </w:r>
          </w:p>
        </w:tc>
        <w:tc>
          <w:tcPr>
            <w:tcW w:w="900" w:type="dxa"/>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0.9</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10</w:t>
            </w:r>
          </w:p>
        </w:tc>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满意度赋分</w:t>
            </w:r>
          </w:p>
        </w:tc>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cs="宋体"/>
                <w:color w:val="auto"/>
                <w:sz w:val="18"/>
                <w:szCs w:val="18"/>
              </w:rPr>
            </w:pPr>
            <w:r>
              <w:rPr>
                <w:rFonts w:hint="eastAsia" w:ascii="宋体" w:hAnsi="宋体" w:cs="宋体"/>
                <w:color w:val="auto"/>
                <w:kern w:val="0"/>
                <w:sz w:val="18"/>
                <w:szCs w:val="18"/>
                <w:lang w:bidi="ar"/>
              </w:rPr>
              <w:t>工作资料</w:t>
            </w:r>
          </w:p>
        </w:tc>
      </w:tr>
    </w:tbl>
    <w:p>
      <w:pPr>
        <w:rPr>
          <w:color w:val="auto"/>
        </w:rPr>
      </w:pPr>
    </w:p>
    <w:p>
      <w:pPr>
        <w:widowControl/>
        <w:spacing w:line="560" w:lineRule="exact"/>
        <w:ind w:firstLine="630" w:firstLineChars="196"/>
        <w:jc w:val="left"/>
        <w:rPr>
          <w:rFonts w:hint="eastAsia"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hint="eastAsia"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1.2024年我单位未安排面向中小企业预留政府采购项目预算；未安排小微企业预留政府采购项目预算。</w:t>
      </w:r>
    </w:p>
    <w:p>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2.本次未公开项目支出绩效目标表共有1个，其中：</w:t>
      </w:r>
      <w:bookmarkStart w:id="0" w:name="_Hlk165051893"/>
      <w:r>
        <w:rPr>
          <w:rFonts w:hint="eastAsia" w:ascii="仿宋_GB2312" w:hAnsi="宋体" w:eastAsia="仿宋_GB2312" w:cs="宋体"/>
          <w:color w:val="auto"/>
          <w:kern w:val="0"/>
          <w:sz w:val="32"/>
          <w:szCs w:val="32"/>
        </w:rPr>
        <w:t>上级转移支付项目1个，涉及预算金额9.00万元</w:t>
      </w:r>
      <w:bookmarkEnd w:id="0"/>
      <w:r>
        <w:rPr>
          <w:rFonts w:hint="eastAsia" w:ascii="仿宋_GB2312" w:hAnsi="宋体" w:eastAsia="仿宋_GB2312" w:cs="宋体"/>
          <w:color w:val="auto"/>
          <w:kern w:val="0"/>
          <w:sz w:val="32"/>
          <w:szCs w:val="32"/>
        </w:rPr>
        <w:t>、绩效目标表完全不予公开。</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left"/>
        <w:rPr>
          <w:rFonts w:hint="eastAsia" w:ascii="仿宋_GB2312" w:hAnsi="宋体" w:eastAsia="仿宋_GB2312" w:cs="宋体"/>
          <w:color w:val="auto"/>
          <w:kern w:val="0"/>
          <w:sz w:val="32"/>
          <w:szCs w:val="32"/>
        </w:rPr>
      </w:pPr>
    </w:p>
    <w:p>
      <w:pPr>
        <w:widowControl/>
        <w:spacing w:line="520" w:lineRule="exact"/>
        <w:jc w:val="right"/>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托克逊县怡心福利院</w:t>
      </w:r>
    </w:p>
    <w:p>
      <w:pPr>
        <w:widowControl/>
        <w:spacing w:line="520" w:lineRule="exact"/>
        <w:jc w:val="right"/>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43BCB"/>
    <w:rsid w:val="00092008"/>
    <w:rsid w:val="00145AEA"/>
    <w:rsid w:val="001B28AE"/>
    <w:rsid w:val="001D6E83"/>
    <w:rsid w:val="0027704B"/>
    <w:rsid w:val="003B4F66"/>
    <w:rsid w:val="00426256"/>
    <w:rsid w:val="0046602C"/>
    <w:rsid w:val="00564A11"/>
    <w:rsid w:val="00575BF7"/>
    <w:rsid w:val="006816FA"/>
    <w:rsid w:val="006F7445"/>
    <w:rsid w:val="00796643"/>
    <w:rsid w:val="009F5A43"/>
    <w:rsid w:val="00A836C6"/>
    <w:rsid w:val="00AC5D7F"/>
    <w:rsid w:val="00AF6F6F"/>
    <w:rsid w:val="00B06EE4"/>
    <w:rsid w:val="00BD7C09"/>
    <w:rsid w:val="00C320AD"/>
    <w:rsid w:val="00D348F5"/>
    <w:rsid w:val="00DC1619"/>
    <w:rsid w:val="00E636F7"/>
    <w:rsid w:val="00EE4A9C"/>
    <w:rsid w:val="02BB7337"/>
    <w:rsid w:val="10A73C2C"/>
    <w:rsid w:val="221451E9"/>
    <w:rsid w:val="22FF2880"/>
    <w:rsid w:val="235B3428"/>
    <w:rsid w:val="3DDC7F8B"/>
    <w:rsid w:val="62F11075"/>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1752</Words>
  <Characters>2196</Characters>
  <Lines>101</Lines>
  <Paragraphs>28</Paragraphs>
  <TotalTime>4</TotalTime>
  <ScaleCrop>false</ScaleCrop>
  <LinksUpToDate>false</LinksUpToDate>
  <CharactersWithSpaces>2256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2025-08-12T05:07:36Z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29AD6103B2644E9A8683B546CB1ABFBB_13</vt:lpwstr>
  </property>
  <property fmtid="{D5CDD505-2E9C-101B-9397-08002B2CF9AE}" pid="4" name="KSOTemplateDocerSaveRecord">
    <vt:lpwstr>eyJoZGlkIjoiMTcwMGY5N2M4YzI3ODdkZTMzOGFhZTcwMTk4MTdlMjAiLCJ1c2VySWQiOiI0OTQ1NzM3OTEifQ==</vt:lpwstr>
  </property>
</Properties>
</file>